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D" w:rsidRDefault="00167E82">
      <w:pPr>
        <w:spacing w:after="180"/>
        <w:jc w:val="right"/>
      </w:pPr>
      <w:bookmarkStart w:id="0" w:name="_GoBack"/>
      <w:bookmarkEnd w:id="0"/>
      <w:r>
        <w:t>Приложение</w:t>
      </w:r>
    </w:p>
    <w:p w:rsidR="00FD1D8D" w:rsidRDefault="00167E82">
      <w:pPr>
        <w:spacing w:after="60"/>
        <w:ind w:left="6747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УТВЕРЖДЕНА</w:t>
      </w:r>
      <w:proofErr w:type="gramEnd"/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 2016 г. № 83п</w:t>
      </w:r>
    </w:p>
    <w:p w:rsidR="00FD1D8D" w:rsidRDefault="00167E82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FD1D8D" w:rsidRDefault="00167E8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FD1D8D" w:rsidRDefault="00167E82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:rsidR="00FD1D8D" w:rsidRPr="00167E82" w:rsidRDefault="00167E82">
      <w:pPr>
        <w:ind w:right="3402"/>
        <w:rPr>
          <w:color w:val="31849B" w:themeColor="accent5" w:themeShade="BF"/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  <w:r w:rsidRPr="00167E82">
        <w:rPr>
          <w:color w:val="31849B" w:themeColor="accent5" w:themeShade="BF"/>
          <w:sz w:val="24"/>
          <w:szCs w:val="24"/>
        </w:rPr>
        <w:t>087-013-854 233</w:t>
      </w:r>
    </w:p>
    <w:p w:rsidR="00FD1D8D" w:rsidRDefault="00FD1D8D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FD1D8D" w:rsidRPr="00167E82" w:rsidRDefault="00167E82">
      <w:pPr>
        <w:ind w:right="3402"/>
        <w:rPr>
          <w:color w:val="31849B" w:themeColor="accent5" w:themeShade="BF"/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  <w:r w:rsidRPr="00167E82">
        <w:rPr>
          <w:color w:val="31849B" w:themeColor="accent5" w:themeShade="BF"/>
          <w:sz w:val="24"/>
          <w:szCs w:val="24"/>
        </w:rPr>
        <w:t>ООО «Пегас»</w:t>
      </w:r>
    </w:p>
    <w:p w:rsidR="00FD1D8D" w:rsidRDefault="00FD1D8D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FD1D8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16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D8D" w:rsidRDefault="00167E82">
            <w:pPr>
              <w:jc w:val="center"/>
              <w:rPr>
                <w:sz w:val="24"/>
                <w:szCs w:val="24"/>
              </w:rPr>
            </w:pPr>
            <w:r w:rsidRPr="00167E82">
              <w:rPr>
                <w:color w:val="31849B" w:themeColor="accent5" w:themeShade="BF"/>
                <w:sz w:val="24"/>
                <w:szCs w:val="24"/>
              </w:rPr>
              <w:t>7719123456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16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D8D" w:rsidRDefault="00167E82">
            <w:pPr>
              <w:jc w:val="center"/>
              <w:rPr>
                <w:sz w:val="24"/>
                <w:szCs w:val="24"/>
              </w:rPr>
            </w:pPr>
            <w:r w:rsidRPr="00167E82">
              <w:rPr>
                <w:color w:val="31849B" w:themeColor="accent5" w:themeShade="BF"/>
                <w:sz w:val="24"/>
                <w:szCs w:val="24"/>
              </w:rPr>
              <w:t>771901001</w:t>
            </w:r>
          </w:p>
        </w:tc>
      </w:tr>
    </w:tbl>
    <w:p w:rsidR="00FD1D8D" w:rsidRDefault="00FD1D8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FD1D8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16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D8D" w:rsidRDefault="00167E82">
            <w:pPr>
              <w:jc w:val="center"/>
              <w:rPr>
                <w:sz w:val="24"/>
                <w:szCs w:val="24"/>
              </w:rPr>
            </w:pPr>
            <w:r w:rsidRPr="00167E82">
              <w:rPr>
                <w:color w:val="31849B" w:themeColor="accent5" w:themeShade="BF"/>
                <w:sz w:val="24"/>
                <w:szCs w:val="24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16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D8D" w:rsidRDefault="00167E82">
            <w:pPr>
              <w:jc w:val="center"/>
              <w:rPr>
                <w:sz w:val="24"/>
                <w:szCs w:val="24"/>
              </w:rPr>
            </w:pPr>
            <w:r w:rsidRPr="00167E82">
              <w:rPr>
                <w:color w:val="31849B" w:themeColor="accent5" w:themeShade="BF"/>
                <w:sz w:val="24"/>
                <w:szCs w:val="24"/>
              </w:rPr>
              <w:t>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167E82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FD1D8D" w:rsidRDefault="00167E82">
      <w:pPr>
        <w:spacing w:after="120"/>
        <w:rPr>
          <w:sz w:val="19"/>
          <w:szCs w:val="19"/>
        </w:rPr>
      </w:pPr>
      <w:proofErr w:type="gramStart"/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FD1D8D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16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D8D" w:rsidRDefault="0016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ИСХД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167E82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 одним из кодов: “</w:t>
            </w:r>
            <w:proofErr w:type="spellStart"/>
            <w:r>
              <w:rPr>
                <w:sz w:val="19"/>
                <w:szCs w:val="19"/>
              </w:rPr>
              <w:t>исхд</w:t>
            </w:r>
            <w:proofErr w:type="spellEnd"/>
            <w:r>
              <w:rPr>
                <w:sz w:val="19"/>
                <w:szCs w:val="19"/>
              </w:rPr>
              <w:t>”, “</w:t>
            </w:r>
            <w:proofErr w:type="spellStart"/>
            <w:r>
              <w:rPr>
                <w:sz w:val="19"/>
                <w:szCs w:val="19"/>
              </w:rPr>
              <w:t>доп</w:t>
            </w:r>
            <w:proofErr w:type="spellEnd"/>
            <w:r>
              <w:rPr>
                <w:sz w:val="19"/>
                <w:szCs w:val="19"/>
              </w:rPr>
              <w:t>”, “</w:t>
            </w:r>
            <w:proofErr w:type="spellStart"/>
            <w:r>
              <w:rPr>
                <w:sz w:val="19"/>
                <w:szCs w:val="19"/>
              </w:rPr>
              <w:t>отмн</w:t>
            </w:r>
            <w:proofErr w:type="spellEnd"/>
            <w:r>
              <w:rPr>
                <w:sz w:val="19"/>
                <w:szCs w:val="19"/>
              </w:rPr>
              <w:t>”)</w:t>
            </w:r>
          </w:p>
        </w:tc>
      </w:tr>
    </w:tbl>
    <w:p w:rsidR="00FD1D8D" w:rsidRDefault="00167E82">
      <w:pPr>
        <w:jc w:val="both"/>
        <w:rPr>
          <w:sz w:val="19"/>
          <w:szCs w:val="19"/>
        </w:rPr>
      </w:pPr>
      <w:r>
        <w:rPr>
          <w:sz w:val="19"/>
          <w:szCs w:val="19"/>
        </w:rPr>
        <w:t>“</w:t>
      </w:r>
      <w:proofErr w:type="spellStart"/>
      <w:r>
        <w:rPr>
          <w:sz w:val="19"/>
          <w:szCs w:val="19"/>
        </w:rPr>
        <w:t>исхд</w:t>
      </w:r>
      <w:proofErr w:type="spellEnd"/>
      <w:r>
        <w:rPr>
          <w:sz w:val="19"/>
          <w:szCs w:val="19"/>
        </w:rPr>
        <w:t>” – исходная форма, впервые подаваемая страхователем о застрахованных лицах за данный отчетный период</w:t>
      </w:r>
    </w:p>
    <w:p w:rsidR="00FD1D8D" w:rsidRDefault="00167E82">
      <w:pPr>
        <w:jc w:val="both"/>
        <w:rPr>
          <w:sz w:val="19"/>
          <w:szCs w:val="19"/>
        </w:rPr>
      </w:pPr>
      <w:r>
        <w:rPr>
          <w:sz w:val="19"/>
          <w:szCs w:val="19"/>
        </w:rPr>
        <w:t>“</w:t>
      </w:r>
      <w:proofErr w:type="spellStart"/>
      <w:proofErr w:type="gramStart"/>
      <w:r>
        <w:rPr>
          <w:sz w:val="19"/>
          <w:szCs w:val="19"/>
        </w:rPr>
        <w:t>доп</w:t>
      </w:r>
      <w:proofErr w:type="spellEnd"/>
      <w:proofErr w:type="gramEnd"/>
      <w:r>
        <w:rPr>
          <w:sz w:val="19"/>
          <w:szCs w:val="19"/>
        </w:rPr>
        <w:t>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FD1D8D" w:rsidRDefault="00167E82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</w:t>
      </w:r>
      <w:proofErr w:type="spellStart"/>
      <w:r>
        <w:rPr>
          <w:sz w:val="19"/>
          <w:szCs w:val="19"/>
        </w:rPr>
        <w:t>отмн</w:t>
      </w:r>
      <w:proofErr w:type="spellEnd"/>
      <w:r>
        <w:rPr>
          <w:sz w:val="19"/>
          <w:szCs w:val="19"/>
        </w:rPr>
        <w:t>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FD1D8D" w:rsidRDefault="00167E82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:rsidR="00FD1D8D" w:rsidRDefault="00167E82">
      <w:pPr>
        <w:spacing w:after="180"/>
        <w:ind w:firstLine="567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</w:t>
      </w:r>
      <w:proofErr w:type="gramEnd"/>
      <w:r>
        <w:rPr>
          <w:sz w:val="19"/>
          <w:szCs w:val="19"/>
        </w:rPr>
        <w:t xml:space="preserve"> использования произведения науки, литературы, искусства)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FD1D8D">
        <w:tc>
          <w:tcPr>
            <w:tcW w:w="567" w:type="dxa"/>
            <w:vAlign w:val="center"/>
          </w:tcPr>
          <w:p w:rsidR="00FD1D8D" w:rsidRDefault="00167E8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Align w:val="center"/>
          </w:tcPr>
          <w:p w:rsidR="00FD1D8D" w:rsidRDefault="00167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t>(при</w:t>
            </w:r>
            <w:r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FD1D8D" w:rsidRDefault="00167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</w:t>
            </w:r>
            <w:r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FD1D8D" w:rsidRDefault="00167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19"/>
                <w:szCs w:val="19"/>
              </w:rPr>
              <w:t>(заполняется при</w:t>
            </w:r>
            <w:r>
              <w:rPr>
                <w:sz w:val="19"/>
                <w:szCs w:val="19"/>
              </w:rPr>
              <w:br/>
              <w:t>наличии у страхователя данных</w:t>
            </w:r>
            <w:r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FD1D8D">
        <w:tc>
          <w:tcPr>
            <w:tcW w:w="567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1</w:t>
            </w:r>
          </w:p>
        </w:tc>
        <w:tc>
          <w:tcPr>
            <w:tcW w:w="3572" w:type="dxa"/>
          </w:tcPr>
          <w:p w:rsidR="00FD1D8D" w:rsidRPr="00167E82" w:rsidRDefault="00167E82">
            <w:pPr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Павлов Сергей Геннадьевич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015-523-987 25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771912345632</w:t>
            </w:r>
          </w:p>
        </w:tc>
      </w:tr>
      <w:tr w:rsidR="00FD1D8D">
        <w:tc>
          <w:tcPr>
            <w:tcW w:w="567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2</w:t>
            </w:r>
          </w:p>
        </w:tc>
        <w:tc>
          <w:tcPr>
            <w:tcW w:w="3572" w:type="dxa"/>
          </w:tcPr>
          <w:p w:rsidR="00FD1D8D" w:rsidRPr="00167E82" w:rsidRDefault="00167E82">
            <w:pPr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Смирнова Наталья Ивановна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002-652-875 33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775421589645</w:t>
            </w:r>
          </w:p>
        </w:tc>
      </w:tr>
      <w:tr w:rsidR="00FD1D8D">
        <w:tc>
          <w:tcPr>
            <w:tcW w:w="567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3</w:t>
            </w:r>
          </w:p>
        </w:tc>
        <w:tc>
          <w:tcPr>
            <w:tcW w:w="3572" w:type="dxa"/>
          </w:tcPr>
          <w:p w:rsidR="00FD1D8D" w:rsidRPr="00167E82" w:rsidRDefault="00167E82" w:rsidP="00167E82">
            <w:pPr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Сидорова Галина Петровна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005-230-851 32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505112540056</w:t>
            </w:r>
          </w:p>
        </w:tc>
      </w:tr>
      <w:tr w:rsidR="00FD1D8D">
        <w:tc>
          <w:tcPr>
            <w:tcW w:w="567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4</w:t>
            </w:r>
          </w:p>
        </w:tc>
        <w:tc>
          <w:tcPr>
            <w:tcW w:w="3572" w:type="dxa"/>
          </w:tcPr>
          <w:p w:rsidR="00FD1D8D" w:rsidRPr="00167E82" w:rsidRDefault="00167E82">
            <w:pPr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Литвинов Петр Михайлович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112-212-845 14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772515877703</w:t>
            </w:r>
          </w:p>
        </w:tc>
      </w:tr>
      <w:tr w:rsidR="00FD1D8D">
        <w:tc>
          <w:tcPr>
            <w:tcW w:w="567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5</w:t>
            </w:r>
          </w:p>
        </w:tc>
        <w:tc>
          <w:tcPr>
            <w:tcW w:w="3572" w:type="dxa"/>
          </w:tcPr>
          <w:p w:rsidR="00FD1D8D" w:rsidRPr="00167E82" w:rsidRDefault="00167E82">
            <w:pPr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Иволгина Мария Александровна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003-115-652 87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771500551097</w:t>
            </w:r>
          </w:p>
        </w:tc>
      </w:tr>
      <w:tr w:rsidR="00FD1D8D">
        <w:tc>
          <w:tcPr>
            <w:tcW w:w="567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6</w:t>
            </w:r>
          </w:p>
        </w:tc>
        <w:tc>
          <w:tcPr>
            <w:tcW w:w="3572" w:type="dxa"/>
          </w:tcPr>
          <w:p w:rsidR="00FD1D8D" w:rsidRPr="00167E82" w:rsidRDefault="00167E82">
            <w:pPr>
              <w:rPr>
                <w:color w:val="31849B" w:themeColor="accent5" w:themeShade="BF"/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Амосова Ирина Сергеевна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001-321-456 89</w:t>
            </w:r>
          </w:p>
        </w:tc>
        <w:tc>
          <w:tcPr>
            <w:tcW w:w="3062" w:type="dxa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  <w:r>
              <w:rPr>
                <w:color w:val="31849B" w:themeColor="accent5" w:themeShade="BF"/>
                <w:sz w:val="19"/>
                <w:szCs w:val="19"/>
              </w:rPr>
              <w:t>23250584496</w:t>
            </w: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Pr="00167E82" w:rsidRDefault="00FD1D8D">
            <w:pPr>
              <w:rPr>
                <w:color w:val="31849B" w:themeColor="accent5" w:themeShade="BF"/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Pr="00167E82" w:rsidRDefault="00FD1D8D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Pr="00167E82" w:rsidRDefault="00FD1D8D">
            <w:pPr>
              <w:jc w:val="center"/>
              <w:rPr>
                <w:color w:val="31849B" w:themeColor="accent5" w:themeShade="BF"/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  <w:tr w:rsidR="00FD1D8D">
        <w:tc>
          <w:tcPr>
            <w:tcW w:w="567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D1D8D" w:rsidRDefault="00FD1D8D">
            <w:pPr>
              <w:jc w:val="center"/>
              <w:rPr>
                <w:sz w:val="19"/>
                <w:szCs w:val="19"/>
              </w:rPr>
            </w:pPr>
          </w:p>
        </w:tc>
      </w:tr>
    </w:tbl>
    <w:p w:rsidR="00FD1D8D" w:rsidRDefault="00FD1D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FD1D8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bookmarkStart w:id="1" w:name="OLE_LINK1"/>
            <w:r w:rsidRPr="00167E82">
              <w:rPr>
                <w:color w:val="31849B" w:themeColor="accent5" w:themeShade="BF"/>
                <w:sz w:val="24"/>
                <w:szCs w:val="24"/>
              </w:rPr>
              <w:t>Генеральный директор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Pr="00167E82" w:rsidRDefault="00FD1D8D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D8D" w:rsidRPr="00167E82" w:rsidRDefault="00167E82">
            <w:pPr>
              <w:jc w:val="center"/>
              <w:rPr>
                <w:i/>
                <w:color w:val="31849B" w:themeColor="accent5" w:themeShade="BF"/>
                <w:sz w:val="24"/>
                <w:szCs w:val="24"/>
              </w:rPr>
            </w:pPr>
            <w:r w:rsidRPr="00167E82">
              <w:rPr>
                <w:i/>
                <w:color w:val="31849B" w:themeColor="accent5" w:themeShade="BF"/>
                <w:sz w:val="24"/>
                <w:szCs w:val="24"/>
              </w:rPr>
              <w:t>ПАВЛОВ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Pr="00167E82" w:rsidRDefault="00FD1D8D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D8D" w:rsidRPr="00167E82" w:rsidRDefault="00167E82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167E82">
              <w:rPr>
                <w:color w:val="31849B" w:themeColor="accent5" w:themeShade="BF"/>
                <w:sz w:val="24"/>
                <w:szCs w:val="24"/>
              </w:rPr>
              <w:t>Павлов С.Г.</w:t>
            </w:r>
          </w:p>
        </w:tc>
      </w:tr>
      <w:tr w:rsidR="00FD1D8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1D8D" w:rsidRDefault="00167E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1D8D" w:rsidRDefault="00167E8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D1D8D" w:rsidRDefault="00167E8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  <w:bookmarkEnd w:id="1"/>
    </w:tbl>
    <w:p w:rsidR="00FD1D8D" w:rsidRDefault="00FD1D8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FD1D8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16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FD1D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D8D" w:rsidRDefault="0016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D1D8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1D8D" w:rsidRDefault="00167E82">
            <w:pPr>
              <w:jc w:val="center"/>
              <w:rPr>
                <w:sz w:val="19"/>
                <w:szCs w:val="19"/>
              </w:rPr>
            </w:pPr>
            <w:r w:rsidRPr="00167E82">
              <w:rPr>
                <w:color w:val="31849B" w:themeColor="accent5" w:themeShade="BF"/>
                <w:sz w:val="19"/>
                <w:szCs w:val="19"/>
              </w:rPr>
              <w:t>10.03.2021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1D8D" w:rsidRDefault="00FD1D8D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1D8D" w:rsidRDefault="00167E8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ее наличии)</w:t>
            </w:r>
          </w:p>
        </w:tc>
      </w:tr>
    </w:tbl>
    <w:p w:rsidR="00FD1D8D" w:rsidRDefault="00FD1D8D">
      <w:pPr>
        <w:rPr>
          <w:sz w:val="2"/>
          <w:szCs w:val="2"/>
        </w:rPr>
      </w:pPr>
    </w:p>
    <w:sectPr w:rsidR="00FD1D8D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02" w:rsidRDefault="005A6F02">
      <w:r>
        <w:separator/>
      </w:r>
    </w:p>
  </w:endnote>
  <w:endnote w:type="continuationSeparator" w:id="0">
    <w:p w:rsidR="005A6F02" w:rsidRDefault="005A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02" w:rsidRDefault="005A6F02">
      <w:r>
        <w:separator/>
      </w:r>
    </w:p>
  </w:footnote>
  <w:footnote w:type="continuationSeparator" w:id="0">
    <w:p w:rsidR="005A6F02" w:rsidRDefault="005A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3A"/>
    <w:rsid w:val="00167E82"/>
    <w:rsid w:val="002D594A"/>
    <w:rsid w:val="005A6F02"/>
    <w:rsid w:val="009D1D3A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2016-02-24T11:58:00Z</cp:lastPrinted>
  <dcterms:created xsi:type="dcterms:W3CDTF">2021-03-15T11:59:00Z</dcterms:created>
  <dcterms:modified xsi:type="dcterms:W3CDTF">2021-03-15T11:59:00Z</dcterms:modified>
</cp:coreProperties>
</file>